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15D9" w14:textId="77777777" w:rsidR="00C62B5A" w:rsidRDefault="00C62B5A" w:rsidP="00C62B5A">
      <w:pPr>
        <w:jc w:val="center"/>
        <w:rPr>
          <w:rFonts w:ascii="Montserrat Medium" w:hAnsi="Montserrat Medium"/>
          <w:b/>
          <w:bCs/>
          <w:spacing w:val="20"/>
          <w:lang w:val="en-US"/>
        </w:rPr>
      </w:pPr>
      <w:r w:rsidRPr="00C62B5A">
        <w:rPr>
          <w:rFonts w:ascii="Montserrat Medium" w:hAnsi="Montserrat Medium"/>
          <w:b/>
          <w:bCs/>
          <w:spacing w:val="20"/>
          <w:lang w:val="en-US"/>
        </w:rPr>
        <w:t xml:space="preserve">Baume &amp; Mercier Highlights Two Signature Riviera Models </w:t>
      </w:r>
    </w:p>
    <w:p w14:paraId="4F3CF4FF" w14:textId="38C3839E" w:rsidR="00C62B5A" w:rsidRPr="00C62B5A" w:rsidRDefault="00C62B5A" w:rsidP="00C62B5A">
      <w:pPr>
        <w:jc w:val="center"/>
        <w:rPr>
          <w:rFonts w:ascii="Montserrat Medium" w:hAnsi="Montserrat Medium"/>
          <w:b/>
          <w:bCs/>
          <w:spacing w:val="20"/>
          <w:lang w:val="en-US"/>
        </w:rPr>
      </w:pPr>
      <w:r w:rsidRPr="00C62B5A">
        <w:rPr>
          <w:rFonts w:ascii="Montserrat Medium" w:hAnsi="Montserrat Medium"/>
          <w:b/>
          <w:bCs/>
          <w:spacing w:val="20"/>
          <w:lang w:val="en-US"/>
        </w:rPr>
        <w:t xml:space="preserve">at </w:t>
      </w:r>
      <w:proofErr w:type="spellStart"/>
      <w:r w:rsidRPr="00C62B5A">
        <w:rPr>
          <w:rFonts w:ascii="Montserrat Medium" w:hAnsi="Montserrat Medium"/>
          <w:b/>
          <w:bCs/>
          <w:spacing w:val="20"/>
          <w:lang w:val="en-US"/>
        </w:rPr>
        <w:t>Jewellery</w:t>
      </w:r>
      <w:proofErr w:type="spellEnd"/>
      <w:r w:rsidRPr="00C62B5A">
        <w:rPr>
          <w:rFonts w:ascii="Montserrat Medium" w:hAnsi="Montserrat Medium"/>
          <w:b/>
          <w:bCs/>
          <w:spacing w:val="20"/>
          <w:lang w:val="en-US"/>
        </w:rPr>
        <w:t xml:space="preserve"> Arabia 2025</w:t>
      </w:r>
    </w:p>
    <w:p w14:paraId="49390004" w14:textId="77777777" w:rsidR="00C62B5A" w:rsidRPr="00C62B5A" w:rsidRDefault="00C62B5A" w:rsidP="00C62B5A">
      <w:pPr>
        <w:rPr>
          <w:sz w:val="22"/>
          <w:szCs w:val="22"/>
          <w:lang w:val="en-US"/>
        </w:rPr>
      </w:pPr>
    </w:p>
    <w:p w14:paraId="708FC82E" w14:textId="085BEA52" w:rsidR="00C62B5A" w:rsidRPr="00023AF7" w:rsidRDefault="00C62B5A" w:rsidP="00C62B5A">
      <w:pPr>
        <w:jc w:val="both"/>
        <w:rPr>
          <w:rFonts w:ascii="Sabon LT Std" w:hAnsi="Sabon LT Std"/>
          <w:sz w:val="20"/>
          <w:szCs w:val="20"/>
          <w:lang w:val="en-US"/>
        </w:rPr>
      </w:pPr>
      <w:r w:rsidRPr="00023AF7">
        <w:rPr>
          <w:rFonts w:ascii="Sabon LT Std" w:hAnsi="Sabon LT Std"/>
          <w:sz w:val="20"/>
          <w:szCs w:val="20"/>
          <w:lang w:val="en-US"/>
        </w:rPr>
        <w:t xml:space="preserve">Bahrain – November 2025 — Baume &amp; Mercier is delighted to participate in </w:t>
      </w:r>
      <w:proofErr w:type="spellStart"/>
      <w:r w:rsidRPr="00023AF7">
        <w:rPr>
          <w:rFonts w:ascii="Sabon LT Std" w:hAnsi="Sabon LT Std"/>
          <w:sz w:val="20"/>
          <w:szCs w:val="20"/>
          <w:lang w:val="en-US"/>
        </w:rPr>
        <w:t>Jewellery</w:t>
      </w:r>
      <w:proofErr w:type="spellEnd"/>
      <w:r w:rsidRPr="00023AF7">
        <w:rPr>
          <w:rFonts w:ascii="Sabon LT Std" w:hAnsi="Sabon LT Std"/>
          <w:sz w:val="20"/>
          <w:szCs w:val="20"/>
          <w:lang w:val="en-US"/>
        </w:rPr>
        <w:t xml:space="preserve"> Arabia 2025, presenting two exceptional timepieces from its emblematic Riviera collection: the Riviera 10796 and the Riviera 10828. These models reflect the Maison’s fusion of refined Swiss craftsmanship, contemporary elegance, and distinctive design.</w:t>
      </w:r>
    </w:p>
    <w:p w14:paraId="7E86502B" w14:textId="77777777" w:rsidR="00C62B5A" w:rsidRPr="00023AF7" w:rsidRDefault="00C62B5A" w:rsidP="00C62B5A">
      <w:pPr>
        <w:jc w:val="both"/>
        <w:rPr>
          <w:rFonts w:ascii="Sabon LT Std" w:hAnsi="Sabon LT Std"/>
          <w:sz w:val="20"/>
          <w:szCs w:val="20"/>
          <w:lang w:val="en-US"/>
        </w:rPr>
      </w:pPr>
    </w:p>
    <w:p w14:paraId="56FF7BFA" w14:textId="77777777" w:rsidR="00C62B5A" w:rsidRPr="00023AF7" w:rsidRDefault="00C62B5A" w:rsidP="00C62B5A">
      <w:pPr>
        <w:jc w:val="both"/>
        <w:rPr>
          <w:rFonts w:ascii="Sabon LT Std" w:hAnsi="Sabon LT Std"/>
          <w:b/>
          <w:bCs/>
          <w:sz w:val="20"/>
          <w:szCs w:val="20"/>
          <w:lang w:val="en-US"/>
        </w:rPr>
      </w:pPr>
      <w:r w:rsidRPr="00023AF7">
        <w:rPr>
          <w:rFonts w:ascii="Sabon LT Std" w:hAnsi="Sabon LT Std"/>
          <w:b/>
          <w:bCs/>
          <w:sz w:val="20"/>
          <w:szCs w:val="20"/>
          <w:lang w:val="en-US"/>
        </w:rPr>
        <w:t>Riviera 10796</w:t>
      </w:r>
    </w:p>
    <w:p w14:paraId="22441BFC" w14:textId="63EBF97D" w:rsidR="00C62B5A" w:rsidRPr="00023AF7" w:rsidRDefault="00C62B5A" w:rsidP="00C62B5A">
      <w:pPr>
        <w:jc w:val="both"/>
        <w:rPr>
          <w:rFonts w:ascii="Sabon LT Std" w:hAnsi="Sabon LT Std"/>
          <w:sz w:val="20"/>
          <w:szCs w:val="20"/>
          <w:lang w:val="en-US"/>
        </w:rPr>
      </w:pPr>
      <w:r w:rsidRPr="00023AF7">
        <w:rPr>
          <w:rFonts w:ascii="Sabon LT Std" w:hAnsi="Sabon LT Std"/>
          <w:sz w:val="20"/>
          <w:szCs w:val="20"/>
          <w:lang w:val="en-US"/>
        </w:rPr>
        <w:t xml:space="preserve">The Riviera 10796 is a radiant 33 mm quartz timepiece distinguished by its refined femininity and architectural presence. Its dodecagonal bezel is set with 44 diamonds of three different sizes, meticulously selected to follow the unique geometry of the iconic twelve-sided shape. The watch features a warm silver-toned dial with remarkable luminosity, enhanced by the transparent wave-pattern décor. </w:t>
      </w:r>
      <w:r w:rsidR="00D230DC">
        <w:rPr>
          <w:rFonts w:ascii="Sabon LT Std" w:hAnsi="Sabon LT Std"/>
          <w:sz w:val="20"/>
          <w:szCs w:val="20"/>
          <w:lang w:val="en-US"/>
        </w:rPr>
        <w:t>Rose gold-colored r</w:t>
      </w:r>
      <w:r w:rsidRPr="00023AF7">
        <w:rPr>
          <w:rFonts w:ascii="Sabon LT Std" w:hAnsi="Sabon LT Std"/>
          <w:sz w:val="20"/>
          <w:szCs w:val="20"/>
          <w:lang w:val="en-US"/>
        </w:rPr>
        <w:t xml:space="preserve">oman numerals and riveted indexes, coated with white </w:t>
      </w:r>
      <w:proofErr w:type="spellStart"/>
      <w:r w:rsidRPr="00023AF7">
        <w:rPr>
          <w:rFonts w:ascii="Sabon LT Std" w:hAnsi="Sabon LT Std"/>
          <w:sz w:val="20"/>
          <w:szCs w:val="20"/>
          <w:lang w:val="en-US"/>
        </w:rPr>
        <w:t>SuperLuminova</w:t>
      </w:r>
      <w:proofErr w:type="spellEnd"/>
      <w:r w:rsidRPr="00023AF7">
        <w:rPr>
          <w:rFonts w:ascii="Sabon LT Std" w:hAnsi="Sabon LT Std"/>
          <w:sz w:val="20"/>
          <w:szCs w:val="20"/>
          <w:lang w:val="en-US"/>
        </w:rPr>
        <w:t>, complete the composition, offering both elegance and readability.</w:t>
      </w:r>
    </w:p>
    <w:p w14:paraId="45B771E4" w14:textId="4FE72E25" w:rsidR="00023AF7" w:rsidRPr="00023AF7" w:rsidRDefault="00023AF7" w:rsidP="00023AF7">
      <w:pPr>
        <w:jc w:val="center"/>
        <w:rPr>
          <w:rFonts w:ascii="Sabon LT Std" w:hAnsi="Sabon LT Std"/>
          <w:sz w:val="20"/>
          <w:szCs w:val="20"/>
          <w:lang w:val="en-US"/>
        </w:rPr>
      </w:pPr>
      <w:r w:rsidRPr="00023AF7">
        <w:rPr>
          <w:rFonts w:ascii="Sabon LT Std" w:hAnsi="Sabon LT Std"/>
          <w:noProof/>
          <w:sz w:val="20"/>
          <w:szCs w:val="20"/>
          <w:lang w:val="en-US"/>
        </w:rPr>
        <w:drawing>
          <wp:inline distT="0" distB="0" distL="0" distR="0" wp14:anchorId="6C1F67E6" wp14:editId="58E0298A">
            <wp:extent cx="1571003" cy="2160000"/>
            <wp:effectExtent l="0" t="0" r="0" b="0"/>
            <wp:docPr id="971017041" name="Image 2"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17041" name="Image 2" descr="Une image contenant horloge, Montre analogique, regarder, argent&#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1003" cy="2160000"/>
                    </a:xfrm>
                    <a:prstGeom prst="rect">
                      <a:avLst/>
                    </a:prstGeom>
                    <a:noFill/>
                    <a:ln>
                      <a:noFill/>
                    </a:ln>
                  </pic:spPr>
                </pic:pic>
              </a:graphicData>
            </a:graphic>
          </wp:inline>
        </w:drawing>
      </w:r>
      <w:r w:rsidRPr="00023AF7">
        <w:rPr>
          <w:rFonts w:ascii="Sabon LT Std" w:hAnsi="Sabon LT Std"/>
          <w:noProof/>
          <w:sz w:val="20"/>
          <w:szCs w:val="20"/>
          <w:lang w:val="en-US"/>
        </w:rPr>
        <w:drawing>
          <wp:inline distT="0" distB="0" distL="0" distR="0" wp14:anchorId="75423923" wp14:editId="037FCCCB">
            <wp:extent cx="1539773" cy="1980000"/>
            <wp:effectExtent l="0" t="0" r="3810" b="1270"/>
            <wp:docPr id="1988701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9773" cy="1980000"/>
                    </a:xfrm>
                    <a:prstGeom prst="rect">
                      <a:avLst/>
                    </a:prstGeom>
                    <a:noFill/>
                    <a:ln>
                      <a:noFill/>
                    </a:ln>
                  </pic:spPr>
                </pic:pic>
              </a:graphicData>
            </a:graphic>
          </wp:inline>
        </w:drawing>
      </w:r>
      <w:r w:rsidRPr="00023AF7">
        <w:rPr>
          <w:rFonts w:ascii="Sabon LT Std" w:hAnsi="Sabon LT Std"/>
          <w:noProof/>
          <w:sz w:val="20"/>
          <w:szCs w:val="20"/>
          <w:lang w:val="en-US"/>
        </w:rPr>
        <w:drawing>
          <wp:inline distT="0" distB="0" distL="0" distR="0" wp14:anchorId="1D96BF06" wp14:editId="6D58D211">
            <wp:extent cx="1571003" cy="2160000"/>
            <wp:effectExtent l="0" t="0" r="0" b="0"/>
            <wp:docPr id="14256775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003" cy="2160000"/>
                    </a:xfrm>
                    <a:prstGeom prst="rect">
                      <a:avLst/>
                    </a:prstGeom>
                    <a:noFill/>
                    <a:ln>
                      <a:noFill/>
                    </a:ln>
                  </pic:spPr>
                </pic:pic>
              </a:graphicData>
            </a:graphic>
          </wp:inline>
        </w:drawing>
      </w:r>
    </w:p>
    <w:p w14:paraId="6E6A7442" w14:textId="369EA134" w:rsidR="00023AF7" w:rsidRPr="00023AF7" w:rsidRDefault="00023AF7" w:rsidP="00023AF7">
      <w:pPr>
        <w:jc w:val="center"/>
        <w:rPr>
          <w:rFonts w:ascii="Sabon LT Std" w:hAnsi="Sabon LT Std"/>
          <w:b/>
          <w:bCs/>
          <w:sz w:val="20"/>
          <w:szCs w:val="20"/>
          <w:lang w:val="en-US"/>
        </w:rPr>
      </w:pPr>
      <w:r w:rsidRPr="00023AF7">
        <w:rPr>
          <w:rFonts w:ascii="Sabon LT Std" w:hAnsi="Sabon LT Std"/>
          <w:noProof/>
          <w:sz w:val="20"/>
          <w:szCs w:val="20"/>
          <w:lang w:val="en-US"/>
        </w:rPr>
        <w:drawing>
          <wp:inline distT="0" distB="0" distL="0" distR="0" wp14:anchorId="654C6548" wp14:editId="08BD9DBB">
            <wp:extent cx="1920709" cy="2880000"/>
            <wp:effectExtent l="0" t="0" r="3810" b="0"/>
            <wp:docPr id="1699718484" name="Image 4" descr="Une image contenant personne, regarder, Accessoire de mod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18484" name="Image 4" descr="Une image contenant personne, regarder, Accessoire de mode, poigne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709" cy="2880000"/>
                    </a:xfrm>
                    <a:prstGeom prst="rect">
                      <a:avLst/>
                    </a:prstGeom>
                    <a:noFill/>
                    <a:ln>
                      <a:noFill/>
                    </a:ln>
                  </pic:spPr>
                </pic:pic>
              </a:graphicData>
            </a:graphic>
          </wp:inline>
        </w:drawing>
      </w:r>
      <w:r>
        <w:rPr>
          <w:rFonts w:ascii="Sabon LT Std" w:hAnsi="Sabon LT Std"/>
          <w:b/>
          <w:bCs/>
          <w:sz w:val="20"/>
          <w:szCs w:val="20"/>
          <w:lang w:val="en-US"/>
        </w:rPr>
        <w:t xml:space="preserve">     </w:t>
      </w:r>
      <w:r w:rsidRPr="00023AF7">
        <w:rPr>
          <w:rFonts w:ascii="Sabon LT Std" w:hAnsi="Sabon LT Std"/>
          <w:noProof/>
          <w:sz w:val="20"/>
          <w:szCs w:val="20"/>
          <w:lang w:val="en-US"/>
        </w:rPr>
        <w:drawing>
          <wp:inline distT="0" distB="0" distL="0" distR="0" wp14:anchorId="00275772" wp14:editId="04E2B81B">
            <wp:extent cx="1920705" cy="2880000"/>
            <wp:effectExtent l="0" t="0" r="3810" b="0"/>
            <wp:docPr id="1033220850" name="Image 5" descr="Une image contenant personne, poignet, Accessoire de mode, o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20850" name="Image 5" descr="Une image contenant personne, poignet, Accessoire de mode, ongl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0705" cy="2880000"/>
                    </a:xfrm>
                    <a:prstGeom prst="rect">
                      <a:avLst/>
                    </a:prstGeom>
                    <a:noFill/>
                    <a:ln>
                      <a:noFill/>
                    </a:ln>
                  </pic:spPr>
                </pic:pic>
              </a:graphicData>
            </a:graphic>
          </wp:inline>
        </w:drawing>
      </w:r>
    </w:p>
    <w:p w14:paraId="29F2572F" w14:textId="2999053B" w:rsidR="00C62B5A" w:rsidRPr="00023AF7" w:rsidRDefault="00C62B5A" w:rsidP="00C62B5A">
      <w:pPr>
        <w:jc w:val="both"/>
        <w:rPr>
          <w:rFonts w:ascii="Sabon LT Std" w:hAnsi="Sabon LT Std"/>
          <w:b/>
          <w:bCs/>
          <w:sz w:val="20"/>
          <w:szCs w:val="20"/>
          <w:lang w:val="en-US"/>
        </w:rPr>
      </w:pPr>
      <w:r w:rsidRPr="00023AF7">
        <w:rPr>
          <w:rFonts w:ascii="Sabon LT Std" w:hAnsi="Sabon LT Std"/>
          <w:b/>
          <w:bCs/>
          <w:sz w:val="20"/>
          <w:szCs w:val="20"/>
          <w:lang w:val="en-US"/>
        </w:rPr>
        <w:lastRenderedPageBreak/>
        <w:t>Riviera 10828</w:t>
      </w:r>
    </w:p>
    <w:p w14:paraId="5107683C" w14:textId="57C89F3A" w:rsidR="00C62B5A" w:rsidRPr="00023AF7" w:rsidRDefault="00C62B5A" w:rsidP="00C62B5A">
      <w:pPr>
        <w:jc w:val="both"/>
        <w:rPr>
          <w:rFonts w:ascii="Sabon LT Std" w:hAnsi="Sabon LT Std"/>
          <w:sz w:val="20"/>
          <w:szCs w:val="20"/>
          <w:lang w:val="en-US"/>
        </w:rPr>
      </w:pPr>
      <w:r w:rsidRPr="00023AF7">
        <w:rPr>
          <w:rFonts w:ascii="Sabon LT Std" w:hAnsi="Sabon LT Std"/>
          <w:sz w:val="20"/>
          <w:szCs w:val="20"/>
          <w:lang w:val="en-US"/>
        </w:rPr>
        <w:t xml:space="preserve">The Riviera 10828 is a limited-edition flyback chronograph of only 73 pieces worldwide, paying tribute to the 1973 debut of the Riviera collection. Housed in a 41 mm case, this exceptional model features a vertically brushed gold-toned dial with vintage appeal, showcasing the chronograph counters, telemetry and tachymeter scales, as well as rhodium-plated Roman numerals and indexes enhanced with beige </w:t>
      </w:r>
      <w:proofErr w:type="spellStart"/>
      <w:r w:rsidRPr="00023AF7">
        <w:rPr>
          <w:rFonts w:ascii="Sabon LT Std" w:hAnsi="Sabon LT Std"/>
          <w:sz w:val="20"/>
          <w:szCs w:val="20"/>
          <w:lang w:val="en-US"/>
        </w:rPr>
        <w:t>SuperLumi</w:t>
      </w:r>
      <w:r w:rsidR="00023AF7" w:rsidRPr="00023AF7">
        <w:rPr>
          <w:rFonts w:ascii="Sabon LT Std" w:hAnsi="Sabon LT Std"/>
          <w:sz w:val="20"/>
          <w:szCs w:val="20"/>
          <w:lang w:val="en-US"/>
        </w:rPr>
        <w:t>n</w:t>
      </w:r>
      <w:r w:rsidRPr="00023AF7">
        <w:rPr>
          <w:rFonts w:ascii="Sabon LT Std" w:hAnsi="Sabon LT Std"/>
          <w:sz w:val="20"/>
          <w:szCs w:val="20"/>
          <w:lang w:val="en-US"/>
        </w:rPr>
        <w:t>ova</w:t>
      </w:r>
      <w:proofErr w:type="spellEnd"/>
      <w:r w:rsidRPr="00023AF7">
        <w:rPr>
          <w:rFonts w:ascii="Sabon LT Std" w:hAnsi="Sabon LT Std"/>
          <w:sz w:val="20"/>
          <w:szCs w:val="20"/>
          <w:lang w:val="en-US"/>
        </w:rPr>
        <w:t>. The watch is powered by an automatic movement offering a 42-hour power reserve, combining technical performance with strong aesthetic character.</w:t>
      </w:r>
    </w:p>
    <w:p w14:paraId="1B7BA235" w14:textId="58FD29E8" w:rsidR="00C62B5A" w:rsidRDefault="00023AF7" w:rsidP="00023AF7">
      <w:pPr>
        <w:jc w:val="center"/>
        <w:rPr>
          <w:rFonts w:ascii="Sabon LT Std" w:hAnsi="Sabon LT Std"/>
          <w:sz w:val="20"/>
          <w:szCs w:val="20"/>
          <w:lang w:val="en-US"/>
        </w:rPr>
      </w:pPr>
      <w:r>
        <w:rPr>
          <w:rFonts w:ascii="Sabon LT Std" w:hAnsi="Sabon LT Std"/>
          <w:noProof/>
          <w:sz w:val="20"/>
          <w:szCs w:val="20"/>
          <w:lang w:val="en-US"/>
        </w:rPr>
        <w:drawing>
          <wp:inline distT="0" distB="0" distL="0" distR="0" wp14:anchorId="033D92C9" wp14:editId="45631328">
            <wp:extent cx="1571004" cy="2160000"/>
            <wp:effectExtent l="0" t="0" r="0" b="0"/>
            <wp:docPr id="279447729" name="Image 8"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47729" name="Image 8" descr="Une image contenant horloge, regarder, Montre analogique, Accessoire de mod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004" cy="2160000"/>
                    </a:xfrm>
                    <a:prstGeom prst="rect">
                      <a:avLst/>
                    </a:prstGeom>
                    <a:noFill/>
                    <a:ln>
                      <a:noFill/>
                    </a:ln>
                  </pic:spPr>
                </pic:pic>
              </a:graphicData>
            </a:graphic>
          </wp:inline>
        </w:drawing>
      </w:r>
      <w:r>
        <w:rPr>
          <w:rFonts w:ascii="Sabon LT Std" w:hAnsi="Sabon LT Std"/>
          <w:noProof/>
          <w:sz w:val="20"/>
          <w:szCs w:val="20"/>
          <w:lang w:val="en-US"/>
        </w:rPr>
        <w:drawing>
          <wp:inline distT="0" distB="0" distL="0" distR="0" wp14:anchorId="4E061DDC" wp14:editId="3D2812B9">
            <wp:extent cx="1539773" cy="1980000"/>
            <wp:effectExtent l="0" t="0" r="3810" b="1270"/>
            <wp:docPr id="3523365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9773" cy="1980000"/>
                    </a:xfrm>
                    <a:prstGeom prst="rect">
                      <a:avLst/>
                    </a:prstGeom>
                    <a:noFill/>
                    <a:ln>
                      <a:noFill/>
                    </a:ln>
                  </pic:spPr>
                </pic:pic>
              </a:graphicData>
            </a:graphic>
          </wp:inline>
        </w:drawing>
      </w:r>
      <w:r>
        <w:rPr>
          <w:rFonts w:ascii="Sabon LT Std" w:hAnsi="Sabon LT Std"/>
          <w:noProof/>
          <w:sz w:val="20"/>
          <w:szCs w:val="20"/>
          <w:lang w:val="en-US"/>
        </w:rPr>
        <w:drawing>
          <wp:inline distT="0" distB="0" distL="0" distR="0" wp14:anchorId="3BBC62CC" wp14:editId="4005E4D2">
            <wp:extent cx="1571004" cy="2160000"/>
            <wp:effectExtent l="0" t="0" r="0" b="0"/>
            <wp:docPr id="21069747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004" cy="2160000"/>
                    </a:xfrm>
                    <a:prstGeom prst="rect">
                      <a:avLst/>
                    </a:prstGeom>
                    <a:noFill/>
                    <a:ln>
                      <a:noFill/>
                    </a:ln>
                  </pic:spPr>
                </pic:pic>
              </a:graphicData>
            </a:graphic>
          </wp:inline>
        </w:drawing>
      </w:r>
    </w:p>
    <w:p w14:paraId="34037DDA" w14:textId="2F1CCFEB" w:rsidR="00023AF7" w:rsidRPr="00023AF7" w:rsidRDefault="00023AF7" w:rsidP="00023AF7">
      <w:pPr>
        <w:jc w:val="center"/>
        <w:rPr>
          <w:rFonts w:ascii="Sabon LT Std" w:hAnsi="Sabon LT Std"/>
          <w:sz w:val="20"/>
          <w:szCs w:val="20"/>
          <w:lang w:val="en-US"/>
        </w:rPr>
      </w:pPr>
      <w:r>
        <w:rPr>
          <w:rFonts w:ascii="Sabon LT Std" w:hAnsi="Sabon LT Std"/>
          <w:noProof/>
          <w:sz w:val="20"/>
          <w:szCs w:val="20"/>
          <w:lang w:val="en-US"/>
        </w:rPr>
        <w:drawing>
          <wp:inline distT="0" distB="0" distL="0" distR="0" wp14:anchorId="1CD8B3C2" wp14:editId="4DDA0530">
            <wp:extent cx="1800663" cy="2700000"/>
            <wp:effectExtent l="0" t="0" r="9525" b="5715"/>
            <wp:docPr id="20613988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663" cy="2700000"/>
                    </a:xfrm>
                    <a:prstGeom prst="rect">
                      <a:avLst/>
                    </a:prstGeom>
                    <a:noFill/>
                    <a:ln>
                      <a:noFill/>
                    </a:ln>
                  </pic:spPr>
                </pic:pic>
              </a:graphicData>
            </a:graphic>
          </wp:inline>
        </w:drawing>
      </w:r>
      <w:r>
        <w:rPr>
          <w:rFonts w:ascii="Sabon LT Std" w:hAnsi="Sabon LT Std"/>
          <w:sz w:val="20"/>
          <w:szCs w:val="20"/>
          <w:lang w:val="en-US"/>
        </w:rPr>
        <w:t xml:space="preserve">    </w:t>
      </w:r>
      <w:r>
        <w:rPr>
          <w:rFonts w:ascii="Sabon LT Std" w:hAnsi="Sabon LT Std"/>
          <w:noProof/>
          <w:sz w:val="20"/>
          <w:szCs w:val="20"/>
          <w:lang w:val="en-US"/>
        </w:rPr>
        <w:drawing>
          <wp:inline distT="0" distB="0" distL="0" distR="0" wp14:anchorId="5728E439" wp14:editId="52883159">
            <wp:extent cx="3607695" cy="2700000"/>
            <wp:effectExtent l="0" t="0" r="0" b="5715"/>
            <wp:docPr id="171981362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7695" cy="2700000"/>
                    </a:xfrm>
                    <a:prstGeom prst="rect">
                      <a:avLst/>
                    </a:prstGeom>
                    <a:noFill/>
                    <a:ln>
                      <a:noFill/>
                    </a:ln>
                  </pic:spPr>
                </pic:pic>
              </a:graphicData>
            </a:graphic>
          </wp:inline>
        </w:drawing>
      </w:r>
    </w:p>
    <w:p w14:paraId="4E3B430D" w14:textId="77777777" w:rsidR="00023AF7" w:rsidRDefault="00023AF7" w:rsidP="00C62B5A">
      <w:pPr>
        <w:jc w:val="both"/>
        <w:rPr>
          <w:rFonts w:ascii="Sabon LT Std" w:hAnsi="Sabon LT Std"/>
          <w:sz w:val="20"/>
          <w:szCs w:val="20"/>
          <w:lang w:val="en-US"/>
        </w:rPr>
      </w:pPr>
    </w:p>
    <w:p w14:paraId="1EEEF4CB" w14:textId="7F612E54" w:rsidR="002C7BB4" w:rsidRPr="00023AF7" w:rsidRDefault="00C62B5A" w:rsidP="00C62B5A">
      <w:pPr>
        <w:jc w:val="both"/>
        <w:rPr>
          <w:rFonts w:ascii="Sabon LT Std" w:hAnsi="Sabon LT Std"/>
          <w:sz w:val="20"/>
          <w:szCs w:val="20"/>
          <w:lang w:val="en-US"/>
        </w:rPr>
      </w:pPr>
      <w:r w:rsidRPr="00023AF7">
        <w:rPr>
          <w:rFonts w:ascii="Sabon LT Std" w:hAnsi="Sabon LT Std"/>
          <w:sz w:val="20"/>
          <w:szCs w:val="20"/>
          <w:lang w:val="en-US"/>
        </w:rPr>
        <w:t>Together, these two creations embody the timeless, sport-chic spirit of the Riviera while highlighting Baume &amp; Mercier’s dedication to excellence and expressive design.</w:t>
      </w:r>
    </w:p>
    <w:sectPr w:rsidR="002C7BB4" w:rsidRPr="00023AF7">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3B6AB" w14:textId="77777777" w:rsidR="00C62B5A" w:rsidRDefault="00C62B5A" w:rsidP="00C62B5A">
      <w:pPr>
        <w:spacing w:after="0" w:line="240" w:lineRule="auto"/>
      </w:pPr>
      <w:r>
        <w:separator/>
      </w:r>
    </w:p>
  </w:endnote>
  <w:endnote w:type="continuationSeparator" w:id="0">
    <w:p w14:paraId="5F6CF921" w14:textId="77777777" w:rsidR="00C62B5A" w:rsidRDefault="00C62B5A" w:rsidP="00C6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Sabon LT Std">
    <w:panose1 w:val="02020602060506020403"/>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012E" w14:textId="77777777" w:rsidR="00C62B5A" w:rsidRDefault="00C62B5A" w:rsidP="00C62B5A">
      <w:pPr>
        <w:spacing w:after="0" w:line="240" w:lineRule="auto"/>
      </w:pPr>
      <w:r>
        <w:separator/>
      </w:r>
    </w:p>
  </w:footnote>
  <w:footnote w:type="continuationSeparator" w:id="0">
    <w:p w14:paraId="6A6B7D9C" w14:textId="77777777" w:rsidR="00C62B5A" w:rsidRDefault="00C62B5A" w:rsidP="00C6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C95C" w14:textId="7F6B6E25" w:rsidR="00C62B5A" w:rsidRDefault="00C62B5A" w:rsidP="00C62B5A">
    <w:pPr>
      <w:pStyle w:val="En-tte"/>
      <w:jc w:val="center"/>
    </w:pPr>
    <w:r>
      <w:rPr>
        <w:noProof/>
      </w:rPr>
      <w:drawing>
        <wp:inline distT="0" distB="0" distL="0" distR="0" wp14:anchorId="37D42D8A" wp14:editId="61E3CC8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210ECFDA" w14:textId="77777777" w:rsidR="00C62B5A" w:rsidRDefault="00C62B5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5A"/>
    <w:rsid w:val="00023AF7"/>
    <w:rsid w:val="002C7BB4"/>
    <w:rsid w:val="00372496"/>
    <w:rsid w:val="004D49FA"/>
    <w:rsid w:val="00C62B5A"/>
    <w:rsid w:val="00D230DC"/>
    <w:rsid w:val="00E1349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A7C52"/>
  <w15:chartTrackingRefBased/>
  <w15:docId w15:val="{E6AD78A3-7F1F-4E0F-9875-15367078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62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62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62B5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62B5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62B5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62B5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62B5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62B5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62B5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2B5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62B5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62B5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62B5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62B5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62B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62B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62B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62B5A"/>
    <w:rPr>
      <w:rFonts w:eastAsiaTheme="majorEastAsia" w:cstheme="majorBidi"/>
      <w:color w:val="272727" w:themeColor="text1" w:themeTint="D8"/>
    </w:rPr>
  </w:style>
  <w:style w:type="paragraph" w:styleId="Titre">
    <w:name w:val="Title"/>
    <w:basedOn w:val="Normal"/>
    <w:next w:val="Normal"/>
    <w:link w:val="TitreCar"/>
    <w:uiPriority w:val="10"/>
    <w:qFormat/>
    <w:rsid w:val="00C62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2B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62B5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2B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62B5A"/>
    <w:pPr>
      <w:spacing w:before="160"/>
      <w:jc w:val="center"/>
    </w:pPr>
    <w:rPr>
      <w:i/>
      <w:iCs/>
      <w:color w:val="404040" w:themeColor="text1" w:themeTint="BF"/>
    </w:rPr>
  </w:style>
  <w:style w:type="character" w:customStyle="1" w:styleId="CitationCar">
    <w:name w:val="Citation Car"/>
    <w:basedOn w:val="Policepardfaut"/>
    <w:link w:val="Citation"/>
    <w:uiPriority w:val="29"/>
    <w:rsid w:val="00C62B5A"/>
    <w:rPr>
      <w:i/>
      <w:iCs/>
      <w:color w:val="404040" w:themeColor="text1" w:themeTint="BF"/>
    </w:rPr>
  </w:style>
  <w:style w:type="paragraph" w:styleId="Paragraphedeliste">
    <w:name w:val="List Paragraph"/>
    <w:basedOn w:val="Normal"/>
    <w:uiPriority w:val="34"/>
    <w:qFormat/>
    <w:rsid w:val="00C62B5A"/>
    <w:pPr>
      <w:ind w:left="720"/>
      <w:contextualSpacing/>
    </w:pPr>
  </w:style>
  <w:style w:type="character" w:styleId="Accentuationintense">
    <w:name w:val="Intense Emphasis"/>
    <w:basedOn w:val="Policepardfaut"/>
    <w:uiPriority w:val="21"/>
    <w:qFormat/>
    <w:rsid w:val="00C62B5A"/>
    <w:rPr>
      <w:i/>
      <w:iCs/>
      <w:color w:val="2F5496" w:themeColor="accent1" w:themeShade="BF"/>
    </w:rPr>
  </w:style>
  <w:style w:type="paragraph" w:styleId="Citationintense">
    <w:name w:val="Intense Quote"/>
    <w:basedOn w:val="Normal"/>
    <w:next w:val="Normal"/>
    <w:link w:val="CitationintenseCar"/>
    <w:uiPriority w:val="30"/>
    <w:qFormat/>
    <w:rsid w:val="00C62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62B5A"/>
    <w:rPr>
      <w:i/>
      <w:iCs/>
      <w:color w:val="2F5496" w:themeColor="accent1" w:themeShade="BF"/>
    </w:rPr>
  </w:style>
  <w:style w:type="character" w:styleId="Rfrenceintense">
    <w:name w:val="Intense Reference"/>
    <w:basedOn w:val="Policepardfaut"/>
    <w:uiPriority w:val="32"/>
    <w:qFormat/>
    <w:rsid w:val="00C62B5A"/>
    <w:rPr>
      <w:b/>
      <w:bCs/>
      <w:smallCaps/>
      <w:color w:val="2F5496" w:themeColor="accent1" w:themeShade="BF"/>
      <w:spacing w:val="5"/>
    </w:rPr>
  </w:style>
  <w:style w:type="paragraph" w:styleId="En-tte">
    <w:name w:val="header"/>
    <w:basedOn w:val="Normal"/>
    <w:link w:val="En-tteCar"/>
    <w:uiPriority w:val="99"/>
    <w:unhideWhenUsed/>
    <w:rsid w:val="00C62B5A"/>
    <w:pPr>
      <w:tabs>
        <w:tab w:val="center" w:pos="4536"/>
        <w:tab w:val="right" w:pos="9072"/>
      </w:tabs>
      <w:spacing w:after="0" w:line="240" w:lineRule="auto"/>
    </w:pPr>
  </w:style>
  <w:style w:type="character" w:customStyle="1" w:styleId="En-tteCar">
    <w:name w:val="En-tête Car"/>
    <w:basedOn w:val="Policepardfaut"/>
    <w:link w:val="En-tte"/>
    <w:uiPriority w:val="99"/>
    <w:rsid w:val="00C62B5A"/>
  </w:style>
  <w:style w:type="paragraph" w:styleId="Pieddepage">
    <w:name w:val="footer"/>
    <w:basedOn w:val="Normal"/>
    <w:link w:val="PieddepageCar"/>
    <w:uiPriority w:val="99"/>
    <w:unhideWhenUsed/>
    <w:rsid w:val="00C62B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2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1488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2</cp:revision>
  <dcterms:created xsi:type="dcterms:W3CDTF">2025-11-19T15:56:00Z</dcterms:created>
  <dcterms:modified xsi:type="dcterms:W3CDTF">2025-11-19T17:16:00Z</dcterms:modified>
</cp:coreProperties>
</file>