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253" w:rsidRDefault="00C03253" w:rsidP="00CB60F5">
      <w:pPr>
        <w:spacing w:line="320" w:lineRule="exact"/>
        <w:jc w:val="center"/>
        <w:rPr>
          <w:rFonts w:ascii="Century Gothic" w:hAnsi="Century Gothic"/>
          <w:b/>
          <w:sz w:val="28"/>
        </w:rPr>
      </w:pPr>
    </w:p>
    <w:p w:rsidR="00C03253" w:rsidRDefault="00C03253" w:rsidP="00CB60F5">
      <w:pPr>
        <w:spacing w:line="320" w:lineRule="exact"/>
        <w:jc w:val="center"/>
        <w:rPr>
          <w:rFonts w:ascii="Century Gothic" w:hAnsi="Century Gothic"/>
          <w:b/>
          <w:sz w:val="28"/>
        </w:rPr>
      </w:pPr>
    </w:p>
    <w:p w:rsidR="00C26C37" w:rsidRPr="00CB60F5" w:rsidRDefault="00A17508" w:rsidP="00CB60F5">
      <w:pPr>
        <w:spacing w:line="320" w:lineRule="exact"/>
        <w:jc w:val="center"/>
        <w:rPr>
          <w:rFonts w:ascii="Century Gothic" w:hAnsi="Century Gothic"/>
          <w:b/>
          <w:sz w:val="28"/>
        </w:rPr>
      </w:pPr>
      <w:r w:rsidRPr="00CB60F5">
        <w:rPr>
          <w:rFonts w:ascii="Century Gothic" w:hAnsi="Century Gothic"/>
          <w:b/>
          <w:sz w:val="28"/>
        </w:rPr>
        <w:t>BAUME &amp; MERCIER DÉVOILE TROIS FILMS SUR LA COLLECTION CLIFTON BAUMATIC</w:t>
      </w:r>
      <w:r w:rsidR="009D5C31" w:rsidRPr="00CB60F5">
        <w:rPr>
          <w:rFonts w:ascii="Century Gothic" w:hAnsi="Century Gothic"/>
          <w:b/>
          <w:sz w:val="28"/>
          <w:vertAlign w:val="superscript"/>
        </w:rPr>
        <w:t>TM</w:t>
      </w:r>
    </w:p>
    <w:p w:rsidR="00523F2E" w:rsidRPr="00CB60F5" w:rsidRDefault="00523F2E" w:rsidP="00CB60F5">
      <w:pPr>
        <w:spacing w:line="320" w:lineRule="exact"/>
        <w:jc w:val="both"/>
        <w:rPr>
          <w:rFonts w:ascii="Century Gothic" w:hAnsi="Century Gothic"/>
        </w:rPr>
      </w:pPr>
    </w:p>
    <w:p w:rsidR="00523F2E" w:rsidRPr="00CB60F5" w:rsidRDefault="00EC6846" w:rsidP="00CB60F5">
      <w:pPr>
        <w:spacing w:line="320" w:lineRule="exact"/>
        <w:jc w:val="both"/>
        <w:rPr>
          <w:rFonts w:ascii="Cambria" w:hAnsi="Cambria"/>
        </w:rPr>
      </w:pPr>
      <w:r>
        <w:rPr>
          <w:rFonts w:ascii="Cambria" w:hAnsi="Cambria"/>
        </w:rPr>
        <w:t>Cette trilogie</w:t>
      </w:r>
      <w:r w:rsidR="003D712B" w:rsidRPr="00CB60F5">
        <w:rPr>
          <w:rFonts w:ascii="Cambria" w:hAnsi="Cambria"/>
        </w:rPr>
        <w:t xml:space="preserve"> </w:t>
      </w:r>
      <w:r w:rsidR="00740B31">
        <w:rPr>
          <w:rFonts w:ascii="Cambria" w:hAnsi="Cambria"/>
        </w:rPr>
        <w:t>met en scène</w:t>
      </w:r>
      <w:r w:rsidR="003D712B" w:rsidRPr="00CB60F5">
        <w:rPr>
          <w:rFonts w:ascii="Cambria" w:hAnsi="Cambria"/>
        </w:rPr>
        <w:t xml:space="preserve"> le quotidien d’un architecte</w:t>
      </w:r>
      <w:r w:rsidR="00523F2E" w:rsidRPr="00CB60F5">
        <w:rPr>
          <w:rFonts w:ascii="Cambria" w:hAnsi="Cambria"/>
        </w:rPr>
        <w:t xml:space="preserve"> </w:t>
      </w:r>
      <w:r w:rsidR="00CB60F5" w:rsidRPr="00CB60F5">
        <w:rPr>
          <w:rFonts w:ascii="Cambria" w:hAnsi="Cambria"/>
        </w:rPr>
        <w:t xml:space="preserve">et </w:t>
      </w:r>
      <w:r w:rsidR="003D712B" w:rsidRPr="00CB60F5">
        <w:rPr>
          <w:rFonts w:ascii="Cambria" w:hAnsi="Cambria"/>
        </w:rPr>
        <w:t xml:space="preserve">souligne </w:t>
      </w:r>
      <w:r w:rsidR="00523F2E" w:rsidRPr="00CB60F5">
        <w:rPr>
          <w:rFonts w:ascii="Cambria" w:hAnsi="Cambria"/>
        </w:rPr>
        <w:t xml:space="preserve">trois </w:t>
      </w:r>
      <w:r>
        <w:rPr>
          <w:rFonts w:ascii="Cambria" w:hAnsi="Cambria"/>
        </w:rPr>
        <w:t xml:space="preserve">des </w:t>
      </w:r>
      <w:r w:rsidR="00523F2E" w:rsidRPr="00CB60F5">
        <w:rPr>
          <w:rFonts w:ascii="Cambria" w:hAnsi="Cambria"/>
        </w:rPr>
        <w:t xml:space="preserve">caractéristiques de la collection Clifton </w:t>
      </w:r>
      <w:proofErr w:type="spellStart"/>
      <w:r w:rsidR="00523F2E" w:rsidRPr="00CB60F5">
        <w:rPr>
          <w:rFonts w:ascii="Cambria" w:hAnsi="Cambria"/>
        </w:rPr>
        <w:t>Baumatic</w:t>
      </w:r>
      <w:proofErr w:type="spellEnd"/>
      <w:r w:rsidR="000A7C35" w:rsidRPr="00B0224E">
        <w:rPr>
          <w:rFonts w:ascii="Cambria" w:hAnsi="Cambria" w:cs="Times New Roman"/>
        </w:rPr>
        <w:t>™</w:t>
      </w:r>
      <w:r w:rsidR="00523F2E" w:rsidRPr="00CB60F5">
        <w:rPr>
          <w:rFonts w:ascii="Cambria" w:hAnsi="Cambria"/>
        </w:rPr>
        <w:t xml:space="preserve"> lancée au SIHH 2018 :</w:t>
      </w:r>
      <w:r w:rsidR="00A17508" w:rsidRPr="00CB60F5">
        <w:rPr>
          <w:rFonts w:ascii="Cambria" w:hAnsi="Cambria"/>
        </w:rPr>
        <w:t xml:space="preserve"> l</w:t>
      </w:r>
      <w:r w:rsidR="00523F2E" w:rsidRPr="00CB60F5">
        <w:rPr>
          <w:rFonts w:ascii="Cambria" w:hAnsi="Cambria"/>
        </w:rPr>
        <w:t>e design</w:t>
      </w:r>
      <w:r w:rsidR="00A17508" w:rsidRPr="00CB60F5">
        <w:rPr>
          <w:rFonts w:ascii="Cambria" w:hAnsi="Cambria"/>
        </w:rPr>
        <w:t>, l</w:t>
      </w:r>
      <w:r w:rsidR="00523F2E" w:rsidRPr="00CB60F5">
        <w:rPr>
          <w:rFonts w:ascii="Cambria" w:hAnsi="Cambria"/>
        </w:rPr>
        <w:t>a réserve de marche</w:t>
      </w:r>
      <w:r w:rsidR="00CB60F5" w:rsidRPr="00CB60F5">
        <w:rPr>
          <w:rFonts w:ascii="Cambria" w:hAnsi="Cambria"/>
        </w:rPr>
        <w:t xml:space="preserve"> ainsi que</w:t>
      </w:r>
      <w:r w:rsidR="00A17508" w:rsidRPr="00CB60F5">
        <w:rPr>
          <w:rFonts w:ascii="Cambria" w:hAnsi="Cambria"/>
        </w:rPr>
        <w:t xml:space="preserve"> l</w:t>
      </w:r>
      <w:r w:rsidR="00523F2E" w:rsidRPr="00CB60F5">
        <w:rPr>
          <w:rFonts w:ascii="Cambria" w:hAnsi="Cambria"/>
        </w:rPr>
        <w:t>a précision</w:t>
      </w:r>
      <w:r w:rsidR="0084126D" w:rsidRPr="00CB60F5">
        <w:rPr>
          <w:rFonts w:ascii="Cambria" w:hAnsi="Cambria"/>
        </w:rPr>
        <w:t>.</w:t>
      </w:r>
      <w:r w:rsidR="00F71A5B" w:rsidRPr="00CB60F5">
        <w:rPr>
          <w:rFonts w:ascii="Cambria" w:hAnsi="Cambria"/>
        </w:rPr>
        <w:t xml:space="preserve"> La Maison Bau</w:t>
      </w:r>
      <w:r w:rsidR="00CB60F5" w:rsidRPr="00CB60F5">
        <w:rPr>
          <w:rFonts w:ascii="Cambria" w:hAnsi="Cambria"/>
        </w:rPr>
        <w:t xml:space="preserve">me &amp; Mercier a choisi d’illustrer les moments de vie d’un homme toujours en mouvement, </w:t>
      </w:r>
      <w:r w:rsidR="00A3094A">
        <w:rPr>
          <w:rFonts w:ascii="Cambria" w:hAnsi="Cambria"/>
        </w:rPr>
        <w:t xml:space="preserve">indépendant, </w:t>
      </w:r>
      <w:r w:rsidR="00740B31">
        <w:rPr>
          <w:rFonts w:ascii="Cambria" w:hAnsi="Cambria"/>
        </w:rPr>
        <w:t>créatif et</w:t>
      </w:r>
      <w:r w:rsidR="00CB60F5" w:rsidRPr="00CB60F5">
        <w:rPr>
          <w:rFonts w:ascii="Cambria" w:hAnsi="Cambria"/>
        </w:rPr>
        <w:t xml:space="preserve"> réaliste. </w:t>
      </w:r>
    </w:p>
    <w:p w:rsidR="00CB60F5" w:rsidRPr="00CB60F5" w:rsidRDefault="00CB60F5" w:rsidP="00CB60F5">
      <w:pPr>
        <w:spacing w:after="0" w:line="320" w:lineRule="exact"/>
        <w:jc w:val="both"/>
        <w:rPr>
          <w:rFonts w:ascii="Cambria" w:hAnsi="Cambria"/>
          <w:b/>
        </w:rPr>
      </w:pPr>
    </w:p>
    <w:p w:rsidR="00A17508" w:rsidRPr="00CB60F5" w:rsidRDefault="00CB60F5" w:rsidP="00CB60F5">
      <w:pPr>
        <w:spacing w:after="0" w:line="320" w:lineRule="exact"/>
        <w:jc w:val="both"/>
        <w:rPr>
          <w:rFonts w:ascii="Century Gothic" w:hAnsi="Century Gothic"/>
          <w:b/>
        </w:rPr>
      </w:pPr>
      <w:r w:rsidRPr="00CB60F5">
        <w:rPr>
          <w:rFonts w:ascii="Century Gothic" w:hAnsi="Century Gothic"/>
          <w:b/>
        </w:rPr>
        <w:t>DESIGN</w:t>
      </w:r>
    </w:p>
    <w:p w:rsidR="00911B10" w:rsidRPr="00CB60F5" w:rsidRDefault="003D712B" w:rsidP="00CB60F5">
      <w:pPr>
        <w:spacing w:line="320" w:lineRule="exact"/>
        <w:jc w:val="both"/>
        <w:rPr>
          <w:rFonts w:ascii="Cambria" w:hAnsi="Cambria"/>
        </w:rPr>
      </w:pPr>
      <w:r w:rsidRPr="00CB60F5">
        <w:rPr>
          <w:rFonts w:ascii="Cambria" w:hAnsi="Cambria"/>
        </w:rPr>
        <w:t xml:space="preserve">Le design et l’élégance des modèles Clifton </w:t>
      </w:r>
      <w:proofErr w:type="spellStart"/>
      <w:r w:rsidRPr="00CB60F5">
        <w:rPr>
          <w:rFonts w:ascii="Cambria" w:hAnsi="Cambria"/>
        </w:rPr>
        <w:t>Baumatic</w:t>
      </w:r>
      <w:proofErr w:type="spellEnd"/>
      <w:r w:rsidR="000A7C35" w:rsidRPr="00B0224E">
        <w:rPr>
          <w:rFonts w:ascii="Cambria" w:hAnsi="Cambria" w:cs="Times New Roman"/>
        </w:rPr>
        <w:t>™</w:t>
      </w:r>
      <w:bookmarkStart w:id="0" w:name="_GoBack"/>
      <w:bookmarkEnd w:id="0"/>
      <w:r w:rsidRPr="00CB60F5">
        <w:rPr>
          <w:rFonts w:ascii="Cambria" w:hAnsi="Cambria"/>
        </w:rPr>
        <w:t xml:space="preserve"> se traduisent par la minutie de l’architecte </w:t>
      </w:r>
      <w:r w:rsidR="00A3094A">
        <w:rPr>
          <w:rFonts w:ascii="Cambria" w:hAnsi="Cambria"/>
        </w:rPr>
        <w:t xml:space="preserve">dans l’exécution de ses croquis. </w:t>
      </w:r>
    </w:p>
    <w:p w:rsidR="003D712B" w:rsidRPr="00CB60F5" w:rsidRDefault="00CB60F5" w:rsidP="00CB60F5">
      <w:pPr>
        <w:spacing w:after="0" w:line="320" w:lineRule="exact"/>
        <w:jc w:val="both"/>
        <w:rPr>
          <w:rFonts w:ascii="Century Gothic" w:hAnsi="Century Gothic"/>
          <w:b/>
        </w:rPr>
      </w:pPr>
      <w:r w:rsidRPr="00CB60F5">
        <w:rPr>
          <w:rFonts w:ascii="Century Gothic" w:hAnsi="Century Gothic"/>
          <w:b/>
        </w:rPr>
        <w:t>RÉSERVE DE MARCHE</w:t>
      </w:r>
    </w:p>
    <w:p w:rsidR="003D712B" w:rsidRPr="00CB60F5" w:rsidRDefault="00EC6846" w:rsidP="00CB60F5">
      <w:pPr>
        <w:spacing w:line="320" w:lineRule="exact"/>
        <w:jc w:val="both"/>
        <w:rPr>
          <w:rFonts w:ascii="Cambria" w:hAnsi="Cambria"/>
        </w:rPr>
      </w:pPr>
      <w:r w:rsidRPr="00EC6846">
        <w:rPr>
          <w:rFonts w:ascii="Cambria" w:hAnsi="Cambria"/>
        </w:rPr>
        <w:t>L</w:t>
      </w:r>
      <w:r w:rsidR="003D712B" w:rsidRPr="00EC6846">
        <w:rPr>
          <w:rFonts w:ascii="Cambria" w:hAnsi="Cambria"/>
        </w:rPr>
        <w:t xml:space="preserve">’homme </w:t>
      </w:r>
      <w:r w:rsidRPr="00EC6846">
        <w:rPr>
          <w:rFonts w:ascii="Cambria" w:hAnsi="Cambria"/>
        </w:rPr>
        <w:t xml:space="preserve">est </w:t>
      </w:r>
      <w:r w:rsidR="003D712B" w:rsidRPr="00EC6846">
        <w:rPr>
          <w:rFonts w:ascii="Cambria" w:hAnsi="Cambria"/>
        </w:rPr>
        <w:t>da</w:t>
      </w:r>
      <w:r w:rsidRPr="00EC6846">
        <w:rPr>
          <w:rFonts w:ascii="Cambria" w:hAnsi="Cambria"/>
        </w:rPr>
        <w:t>ns son atelier, i</w:t>
      </w:r>
      <w:r w:rsidR="003D712B" w:rsidRPr="00EC6846">
        <w:rPr>
          <w:rFonts w:ascii="Cambria" w:hAnsi="Cambria"/>
        </w:rPr>
        <w:t>l dessine l’extension contemporaine du bâtiment découvert dans le premier</w:t>
      </w:r>
      <w:r w:rsidR="006277C4">
        <w:rPr>
          <w:rFonts w:ascii="Cambria" w:hAnsi="Cambria"/>
        </w:rPr>
        <w:t xml:space="preserve"> film. Son projet dure 5 jours, </w:t>
      </w:r>
      <w:r w:rsidR="00CB07A5" w:rsidRPr="00EC6846">
        <w:rPr>
          <w:rFonts w:ascii="Cambria" w:hAnsi="Cambria"/>
        </w:rPr>
        <w:t>référence</w:t>
      </w:r>
      <w:r w:rsidR="00A575C6" w:rsidRPr="00EC6846">
        <w:rPr>
          <w:rFonts w:ascii="Cambria" w:hAnsi="Cambria"/>
        </w:rPr>
        <w:t xml:space="preserve"> à</w:t>
      </w:r>
      <w:r w:rsidR="00AD25C7" w:rsidRPr="00EC6846">
        <w:rPr>
          <w:rFonts w:ascii="Cambria" w:hAnsi="Cambria"/>
        </w:rPr>
        <w:t xml:space="preserve"> </w:t>
      </w:r>
      <w:r w:rsidR="003D712B" w:rsidRPr="00EC6846">
        <w:rPr>
          <w:rFonts w:ascii="Cambria" w:hAnsi="Cambria"/>
        </w:rPr>
        <w:t>la réserve de marche des montres Clifton</w:t>
      </w:r>
      <w:r w:rsidR="003D712B" w:rsidRPr="00CB60F5">
        <w:rPr>
          <w:rFonts w:ascii="Cambria" w:hAnsi="Cambria"/>
        </w:rPr>
        <w:t xml:space="preserve"> </w:t>
      </w:r>
      <w:proofErr w:type="spellStart"/>
      <w:r w:rsidR="003D712B" w:rsidRPr="00CB60F5">
        <w:rPr>
          <w:rFonts w:ascii="Cambria" w:hAnsi="Cambria"/>
        </w:rPr>
        <w:t>Baumatic</w:t>
      </w:r>
      <w:proofErr w:type="spellEnd"/>
      <w:r w:rsidR="00D17689" w:rsidRPr="00B0224E">
        <w:rPr>
          <w:rFonts w:ascii="Cambria" w:hAnsi="Cambria" w:cs="Times New Roman"/>
        </w:rPr>
        <w:t>™</w:t>
      </w:r>
      <w:r w:rsidR="00CB07A5">
        <w:rPr>
          <w:rFonts w:ascii="Cambria" w:hAnsi="Cambria"/>
        </w:rPr>
        <w:t xml:space="preserve"> (120 heures).</w:t>
      </w:r>
    </w:p>
    <w:p w:rsidR="003D712B" w:rsidRPr="00CB60F5" w:rsidRDefault="00CB60F5" w:rsidP="00CB60F5">
      <w:pPr>
        <w:spacing w:after="0" w:line="320" w:lineRule="exact"/>
        <w:jc w:val="both"/>
        <w:rPr>
          <w:rFonts w:ascii="Century Gothic" w:hAnsi="Century Gothic"/>
          <w:b/>
        </w:rPr>
      </w:pPr>
      <w:r w:rsidRPr="00CB60F5">
        <w:rPr>
          <w:rFonts w:ascii="Century Gothic" w:hAnsi="Century Gothic"/>
          <w:b/>
        </w:rPr>
        <w:t>PRÉCISION</w:t>
      </w:r>
    </w:p>
    <w:p w:rsidR="00523F2E" w:rsidRDefault="007854D1" w:rsidP="00CB60F5">
      <w:pPr>
        <w:spacing w:line="320" w:lineRule="exact"/>
        <w:jc w:val="both"/>
        <w:rPr>
          <w:rFonts w:ascii="Cambria" w:hAnsi="Cambria"/>
        </w:rPr>
      </w:pPr>
      <w:r>
        <w:rPr>
          <w:rFonts w:ascii="Cambria" w:hAnsi="Cambria"/>
        </w:rPr>
        <w:t>L’architecte se prépare à présenter son projet finalisé</w:t>
      </w:r>
      <w:r w:rsidR="00F82DCE">
        <w:rPr>
          <w:rFonts w:ascii="Cambria" w:hAnsi="Cambria"/>
        </w:rPr>
        <w:t xml:space="preserve">. </w:t>
      </w:r>
    </w:p>
    <w:p w:rsidR="00ED0741" w:rsidRPr="00ED0741" w:rsidRDefault="00ED0741" w:rsidP="00CB60F5">
      <w:pPr>
        <w:spacing w:line="320" w:lineRule="exact"/>
        <w:jc w:val="both"/>
        <w:rPr>
          <w:rFonts w:ascii="Cambria" w:hAnsi="Cambria"/>
        </w:rPr>
      </w:pPr>
    </w:p>
    <w:p w:rsidR="00A11563" w:rsidRPr="00ED0741" w:rsidRDefault="00A11563" w:rsidP="006277C4">
      <w:pPr>
        <w:spacing w:before="120" w:after="120" w:line="320" w:lineRule="exact"/>
        <w:jc w:val="both"/>
        <w:rPr>
          <w:rFonts w:ascii="Century Gothic" w:hAnsi="Century Gothic" w:cs="Times New Roman"/>
          <w:b/>
        </w:rPr>
      </w:pPr>
      <w:r w:rsidRPr="00ED0741">
        <w:rPr>
          <w:rFonts w:ascii="Century Gothic" w:hAnsi="Century Gothic" w:cs="Times New Roman"/>
          <w:b/>
        </w:rPr>
        <w:t>CLIFTON BAUMATIC</w:t>
      </w:r>
      <w:r w:rsidRPr="00ED0741">
        <w:rPr>
          <w:rFonts w:ascii="Century Gothic" w:hAnsi="Century Gothic" w:cs="Times New Roman"/>
          <w:b/>
          <w:vertAlign w:val="superscript"/>
        </w:rPr>
        <w:t>TM</w:t>
      </w:r>
    </w:p>
    <w:p w:rsidR="006277C4" w:rsidRDefault="00E63739" w:rsidP="006277C4">
      <w:pPr>
        <w:spacing w:before="120" w:after="120" w:line="320" w:lineRule="exact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La </w:t>
      </w:r>
      <w:r w:rsidR="008539DF">
        <w:rPr>
          <w:rFonts w:ascii="Cambria" w:hAnsi="Cambria" w:cs="Times New Roman"/>
        </w:rPr>
        <w:t xml:space="preserve">collection </w:t>
      </w:r>
      <w:r w:rsidRPr="006277C4">
        <w:rPr>
          <w:rFonts w:ascii="Cambria" w:hAnsi="Cambria"/>
        </w:rPr>
        <w:t xml:space="preserve">Clifton </w:t>
      </w:r>
      <w:proofErr w:type="spellStart"/>
      <w:r w:rsidRPr="00CB60F5">
        <w:rPr>
          <w:rFonts w:ascii="Cambria" w:hAnsi="Cambria"/>
        </w:rPr>
        <w:t>Baumatic</w:t>
      </w:r>
      <w:proofErr w:type="spellEnd"/>
      <w:r w:rsidR="00D17689" w:rsidRPr="00B0224E">
        <w:rPr>
          <w:rFonts w:ascii="Cambria" w:hAnsi="Cambria" w:cs="Times New Roman"/>
        </w:rPr>
        <w:t>™</w:t>
      </w:r>
      <w:r>
        <w:rPr>
          <w:rFonts w:ascii="Cambria" w:hAnsi="Cambria" w:cs="Times New Roman"/>
        </w:rPr>
        <w:t xml:space="preserve"> possède un</w:t>
      </w:r>
      <w:r w:rsidR="006F50E0">
        <w:rPr>
          <w:rFonts w:ascii="Cambria" w:hAnsi="Cambria" w:cs="Times New Roman"/>
        </w:rPr>
        <w:t xml:space="preserve"> cadran blanc </w:t>
      </w:r>
      <w:r w:rsidR="008539DF">
        <w:rPr>
          <w:rFonts w:ascii="Cambria" w:hAnsi="Cambria" w:cs="Times New Roman"/>
        </w:rPr>
        <w:t>ou noir qui</w:t>
      </w:r>
      <w:r>
        <w:rPr>
          <w:rFonts w:ascii="Cambria" w:hAnsi="Cambria" w:cs="Times New Roman"/>
        </w:rPr>
        <w:t xml:space="preserve"> </w:t>
      </w:r>
      <w:r w:rsidR="006277C4">
        <w:rPr>
          <w:rFonts w:ascii="Cambria" w:hAnsi="Cambria" w:cs="Times New Roman"/>
        </w:rPr>
        <w:t>offre un</w:t>
      </w:r>
      <w:r w:rsidR="006277C4" w:rsidRPr="00B0224E">
        <w:rPr>
          <w:rFonts w:ascii="Cambria" w:hAnsi="Cambria" w:cs="Times New Roman"/>
        </w:rPr>
        <w:t xml:space="preserve"> affichage sobre et lisible</w:t>
      </w:r>
      <w:r>
        <w:rPr>
          <w:rFonts w:ascii="Cambria" w:hAnsi="Cambria" w:cs="Times New Roman"/>
        </w:rPr>
        <w:t>. Il est</w:t>
      </w:r>
      <w:r w:rsidR="006277C4">
        <w:rPr>
          <w:rFonts w:ascii="Cambria" w:hAnsi="Cambria" w:cs="Times New Roman"/>
        </w:rPr>
        <w:t xml:space="preserve"> animé par des </w:t>
      </w:r>
      <w:r w:rsidR="006277C4" w:rsidRPr="00B0224E">
        <w:rPr>
          <w:rFonts w:ascii="Cambria" w:hAnsi="Cambria" w:cs="Times New Roman"/>
        </w:rPr>
        <w:t xml:space="preserve">index rivés élancés, de fines aiguilles lancette et d’un guichet de date élargi à 3h. Surmonté d’une glace saphir bombée, le chemin de minuterie gris anthracite suit la rondeur du boîtier en acier poli-satiné de 40 mm de diamètre. Étanche à 50 mètres, il révèle en transparence côté fond le nouveau calibre </w:t>
      </w:r>
      <w:proofErr w:type="spellStart"/>
      <w:r w:rsidR="006277C4" w:rsidRPr="00B0224E">
        <w:rPr>
          <w:rFonts w:ascii="Cambria" w:hAnsi="Cambria" w:cs="Times New Roman"/>
        </w:rPr>
        <w:t>Baumatic</w:t>
      </w:r>
      <w:proofErr w:type="spellEnd"/>
      <w:r w:rsidR="006277C4" w:rsidRPr="00B0224E">
        <w:rPr>
          <w:rFonts w:ascii="Cambria" w:hAnsi="Cambria" w:cs="Times New Roman"/>
        </w:rPr>
        <w:t xml:space="preserve">™ BM12-1975A, premier </w:t>
      </w:r>
      <w:r w:rsidR="006F50E0">
        <w:rPr>
          <w:rFonts w:ascii="Cambria" w:hAnsi="Cambria" w:cs="Times New Roman"/>
        </w:rPr>
        <w:t>mouvement in-house de Baume &amp; Mercier. La</w:t>
      </w:r>
      <w:r w:rsidR="006277C4" w:rsidRPr="00B0224E">
        <w:rPr>
          <w:rFonts w:ascii="Cambria" w:hAnsi="Cambria" w:cs="Times New Roman"/>
        </w:rPr>
        <w:t xml:space="preserve"> montre s’attache au poignet par un bracelet en alligator</w:t>
      </w:r>
      <w:r w:rsidR="006F50E0">
        <w:rPr>
          <w:rFonts w:ascii="Cambria" w:hAnsi="Cambria" w:cs="Times New Roman"/>
        </w:rPr>
        <w:t xml:space="preserve"> noir</w:t>
      </w:r>
      <w:r w:rsidR="008539DF">
        <w:rPr>
          <w:rFonts w:ascii="Cambria" w:hAnsi="Cambria" w:cs="Times New Roman"/>
        </w:rPr>
        <w:t>, brun ou bleu marine</w:t>
      </w:r>
      <w:r w:rsidR="006F50E0">
        <w:rPr>
          <w:rFonts w:ascii="Cambria" w:hAnsi="Cambria" w:cs="Times New Roman"/>
        </w:rPr>
        <w:t xml:space="preserve"> </w:t>
      </w:r>
      <w:r w:rsidR="006277C4">
        <w:rPr>
          <w:rFonts w:ascii="Cambria" w:hAnsi="Cambria" w:cs="Times New Roman"/>
        </w:rPr>
        <w:t>fermé par une boucle ardillon.</w:t>
      </w:r>
      <w:r w:rsidR="008539DF">
        <w:rPr>
          <w:rFonts w:ascii="Cambria" w:hAnsi="Cambria" w:cs="Times New Roman"/>
        </w:rPr>
        <w:t xml:space="preserve"> </w:t>
      </w:r>
      <w:r w:rsidR="008539DF" w:rsidRPr="008539DF">
        <w:rPr>
          <w:rFonts w:ascii="Cambria" w:hAnsi="Cambria" w:cs="Times New Roman"/>
        </w:rPr>
        <w:t xml:space="preserve">Un bracelet à cinq rangs en acier poli-satiné équipé d’une boucle triple </w:t>
      </w:r>
      <w:proofErr w:type="spellStart"/>
      <w:r w:rsidR="008539DF" w:rsidRPr="008539DF">
        <w:rPr>
          <w:rFonts w:ascii="Cambria" w:hAnsi="Cambria" w:cs="Times New Roman"/>
        </w:rPr>
        <w:t>déployante</w:t>
      </w:r>
      <w:proofErr w:type="spellEnd"/>
      <w:r w:rsidR="008539DF" w:rsidRPr="008539DF">
        <w:rPr>
          <w:rFonts w:ascii="Cambria" w:hAnsi="Cambria" w:cs="Times New Roman"/>
        </w:rPr>
        <w:t xml:space="preserve"> avec sécurité, complète </w:t>
      </w:r>
      <w:r w:rsidR="008539DF">
        <w:rPr>
          <w:rFonts w:ascii="Cambria" w:hAnsi="Cambria" w:cs="Times New Roman"/>
        </w:rPr>
        <w:t>la collection.</w:t>
      </w:r>
    </w:p>
    <w:p w:rsidR="006277C4" w:rsidRDefault="006277C4" w:rsidP="006277C4">
      <w:pPr>
        <w:spacing w:before="120" w:after="120" w:line="320" w:lineRule="exact"/>
        <w:jc w:val="both"/>
        <w:rPr>
          <w:rFonts w:ascii="Cambria" w:hAnsi="Cambria" w:cs="Times New Roman"/>
        </w:rPr>
      </w:pPr>
    </w:p>
    <w:p w:rsidR="006277C4" w:rsidRPr="00CB60F5" w:rsidRDefault="006277C4" w:rsidP="00CB60F5">
      <w:pPr>
        <w:spacing w:line="320" w:lineRule="exact"/>
        <w:jc w:val="both"/>
        <w:rPr>
          <w:rFonts w:ascii="Century Gothic" w:hAnsi="Century Gothic"/>
        </w:rPr>
      </w:pPr>
    </w:p>
    <w:sectPr w:rsidR="006277C4" w:rsidRPr="00CB60F5" w:rsidSect="00CB60F5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821" w:rsidRDefault="002C0821" w:rsidP="00C03253">
      <w:pPr>
        <w:spacing w:after="0" w:line="240" w:lineRule="auto"/>
      </w:pPr>
      <w:r>
        <w:separator/>
      </w:r>
    </w:p>
  </w:endnote>
  <w:endnote w:type="continuationSeparator" w:id="0">
    <w:p w:rsidR="002C0821" w:rsidRDefault="002C0821" w:rsidP="00C0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821" w:rsidRDefault="002C0821" w:rsidP="00C03253">
      <w:pPr>
        <w:spacing w:after="0" w:line="240" w:lineRule="auto"/>
      </w:pPr>
      <w:r>
        <w:separator/>
      </w:r>
    </w:p>
  </w:footnote>
  <w:footnote w:type="continuationSeparator" w:id="0">
    <w:p w:rsidR="002C0821" w:rsidRDefault="002C0821" w:rsidP="00C0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253" w:rsidRDefault="00C03253" w:rsidP="00C03253">
    <w:pPr>
      <w:pStyle w:val="En-tte"/>
      <w:jc w:val="center"/>
    </w:pPr>
    <w:r w:rsidRPr="0016591F">
      <w:rPr>
        <w:noProof/>
        <w:lang w:eastAsia="fr-CH"/>
      </w:rPr>
      <w:drawing>
        <wp:inline distT="0" distB="0" distL="0" distR="0" wp14:anchorId="1B1AC0A0" wp14:editId="6C5C874C">
          <wp:extent cx="2359152" cy="723452"/>
          <wp:effectExtent l="0" t="0" r="3175" b="635"/>
          <wp:docPr id="5" name="Image 5" descr="J:\Mark_Com\Communication\EDITION\12 PROCESS\LOGOS\BM-Logo-international\Version A\PNG RVB (web,screen)\BM-Logo-international- A -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Mark_Com\Communication\EDITION\12 PROCESS\LOGOS\BM-Logo-international\Version A\PNG RVB (web,screen)\BM-Logo-international- A - 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78" cy="74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100AD"/>
    <w:multiLevelType w:val="hybridMultilevel"/>
    <w:tmpl w:val="BE789300"/>
    <w:lvl w:ilvl="0" w:tplc="F6CEF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F2E"/>
    <w:rsid w:val="000A7C35"/>
    <w:rsid w:val="001F2C1D"/>
    <w:rsid w:val="002C0821"/>
    <w:rsid w:val="003D712B"/>
    <w:rsid w:val="00523F2E"/>
    <w:rsid w:val="006277C4"/>
    <w:rsid w:val="006F50E0"/>
    <w:rsid w:val="00740B31"/>
    <w:rsid w:val="007854D1"/>
    <w:rsid w:val="00791502"/>
    <w:rsid w:val="0084126D"/>
    <w:rsid w:val="008539DF"/>
    <w:rsid w:val="00911B10"/>
    <w:rsid w:val="00956F35"/>
    <w:rsid w:val="009D5C31"/>
    <w:rsid w:val="009F3C6D"/>
    <w:rsid w:val="00A11563"/>
    <w:rsid w:val="00A17508"/>
    <w:rsid w:val="00A3094A"/>
    <w:rsid w:val="00A43296"/>
    <w:rsid w:val="00A575C6"/>
    <w:rsid w:val="00AD25C7"/>
    <w:rsid w:val="00B7515C"/>
    <w:rsid w:val="00C03253"/>
    <w:rsid w:val="00C26C37"/>
    <w:rsid w:val="00CA16E4"/>
    <w:rsid w:val="00CB07A5"/>
    <w:rsid w:val="00CB60F5"/>
    <w:rsid w:val="00D17689"/>
    <w:rsid w:val="00E63739"/>
    <w:rsid w:val="00EA3A01"/>
    <w:rsid w:val="00EC6846"/>
    <w:rsid w:val="00ED0741"/>
    <w:rsid w:val="00F71A5B"/>
    <w:rsid w:val="00F82DCE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B7E06F-9056-428B-AF0B-8DCF3876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3F2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3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3A01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03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3253"/>
  </w:style>
  <w:style w:type="paragraph" w:styleId="Pieddepage">
    <w:name w:val="footer"/>
    <w:basedOn w:val="Normal"/>
    <w:link w:val="PieddepageCar"/>
    <w:uiPriority w:val="99"/>
    <w:unhideWhenUsed/>
    <w:rsid w:val="00C03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3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Richemont SA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MURBACH Sophie (BEM-CH)</dc:creator>
  <cp:keywords/>
  <dc:description/>
  <cp:lastModifiedBy>MURBACH Sophie (BEM-CH)</cp:lastModifiedBy>
  <cp:revision>3</cp:revision>
  <cp:lastPrinted>2018-10-08T12:02:00Z</cp:lastPrinted>
  <dcterms:created xsi:type="dcterms:W3CDTF">2018-10-16T09:18:00Z</dcterms:created>
  <dcterms:modified xsi:type="dcterms:W3CDTF">2018-10-16T09:28:00Z</dcterms:modified>
</cp:coreProperties>
</file>